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9E495" w14:textId="0BE13328" w:rsidR="00007951" w:rsidRDefault="00406290">
      <w:pPr>
        <w:rPr>
          <w:b/>
        </w:rPr>
      </w:pPr>
      <w:r w:rsidRPr="00CB51EC">
        <w:rPr>
          <w:b/>
          <w:noProof/>
          <w:sz w:val="24"/>
          <w:lang w:eastAsia="en-GB"/>
        </w:rPr>
        <w:drawing>
          <wp:anchor distT="0" distB="0" distL="114300" distR="114300" simplePos="0" relativeHeight="251659264" behindDoc="0" locked="0" layoutInCell="1" allowOverlap="1" wp14:anchorId="59743EED" wp14:editId="152E10D2">
            <wp:simplePos x="0" y="0"/>
            <wp:positionH relativeFrom="page">
              <wp:align>right</wp:align>
            </wp:positionH>
            <wp:positionV relativeFrom="paragraph">
              <wp:posOffset>-1019175</wp:posOffset>
            </wp:positionV>
            <wp:extent cx="2637155" cy="13328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ANGLIA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7155" cy="1332865"/>
                    </a:xfrm>
                    <a:prstGeom prst="rect">
                      <a:avLst/>
                    </a:prstGeom>
                  </pic:spPr>
                </pic:pic>
              </a:graphicData>
            </a:graphic>
            <wp14:sizeRelH relativeFrom="page">
              <wp14:pctWidth>0</wp14:pctWidth>
            </wp14:sizeRelH>
            <wp14:sizeRelV relativeFrom="page">
              <wp14:pctHeight>0</wp14:pctHeight>
            </wp14:sizeRelV>
          </wp:anchor>
        </w:drawing>
      </w:r>
    </w:p>
    <w:p w14:paraId="64594265" w14:textId="1AF0CE32" w:rsidR="0049092C" w:rsidRPr="00CB51EC" w:rsidRDefault="0049092C" w:rsidP="00406290">
      <w:pPr>
        <w:spacing w:before="120" w:after="0"/>
        <w:rPr>
          <w:b/>
          <w:sz w:val="24"/>
        </w:rPr>
      </w:pPr>
      <w:r w:rsidRPr="00CB51EC">
        <w:rPr>
          <w:b/>
          <w:sz w:val="24"/>
        </w:rPr>
        <w:t xml:space="preserve">New Anglia </w:t>
      </w:r>
      <w:r>
        <w:rPr>
          <w:b/>
          <w:sz w:val="24"/>
        </w:rPr>
        <w:t xml:space="preserve">Audit and Risk Panel </w:t>
      </w:r>
      <w:r w:rsidRPr="00CB51EC">
        <w:rPr>
          <w:b/>
          <w:sz w:val="24"/>
        </w:rPr>
        <w:t>Minutes (</w:t>
      </w:r>
      <w:r w:rsidR="00535992">
        <w:rPr>
          <w:b/>
          <w:sz w:val="24"/>
        </w:rPr>
        <w:t>C</w:t>
      </w:r>
      <w:r w:rsidRPr="00CB51EC">
        <w:rPr>
          <w:b/>
          <w:sz w:val="24"/>
        </w:rPr>
        <w:t>onfirmed)</w:t>
      </w:r>
    </w:p>
    <w:p w14:paraId="198B496C" w14:textId="75534D22" w:rsidR="0049092C" w:rsidRDefault="0049092C">
      <w:pPr>
        <w:rPr>
          <w:b/>
        </w:rPr>
      </w:pPr>
      <w:r>
        <w:rPr>
          <w:b/>
        </w:rPr>
        <w:t>13 February 2019</w:t>
      </w:r>
    </w:p>
    <w:p w14:paraId="22962BEA" w14:textId="677C1E6A" w:rsidR="0049092C" w:rsidRDefault="0049092C">
      <w:pPr>
        <w:rPr>
          <w:b/>
        </w:rPr>
      </w:pPr>
      <w:r>
        <w:rPr>
          <w:b/>
        </w:rPr>
        <w:t>Present</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811"/>
      </w:tblGrid>
      <w:tr w:rsidR="0049092C" w:rsidRPr="00CB51EC" w14:paraId="2BDEE72F" w14:textId="77777777" w:rsidTr="00792920">
        <w:trPr>
          <w:trHeight w:val="340"/>
          <w:jc w:val="center"/>
        </w:trPr>
        <w:tc>
          <w:tcPr>
            <w:tcW w:w="3261" w:type="dxa"/>
          </w:tcPr>
          <w:p w14:paraId="5EBBA375" w14:textId="69378B4A" w:rsidR="0049092C" w:rsidRDefault="0049092C" w:rsidP="00792920">
            <w:r>
              <w:t>Nick Banks (NB) (Chair)</w:t>
            </w:r>
          </w:p>
          <w:p w14:paraId="1F9D9F9D" w14:textId="1D86FD99" w:rsidR="0049092C" w:rsidRPr="00CB51EC" w:rsidRDefault="0049092C" w:rsidP="00792920">
            <w:r>
              <w:t>Andrew Proctor (AP)</w:t>
            </w:r>
          </w:p>
        </w:tc>
        <w:tc>
          <w:tcPr>
            <w:tcW w:w="5811" w:type="dxa"/>
          </w:tcPr>
          <w:p w14:paraId="7F703E95" w14:textId="5F1BBED3" w:rsidR="0049092C" w:rsidRDefault="0049092C" w:rsidP="00792920">
            <w:proofErr w:type="spellStart"/>
            <w:r>
              <w:t>Scrutton</w:t>
            </w:r>
            <w:proofErr w:type="spellEnd"/>
            <w:r>
              <w:t xml:space="preserve"> Bland</w:t>
            </w:r>
          </w:p>
          <w:p w14:paraId="7D0109B9" w14:textId="5F7AA747" w:rsidR="0049092C" w:rsidRPr="00CB51EC" w:rsidRDefault="0049092C" w:rsidP="00792920">
            <w:r>
              <w:t>Norfolk County Council</w:t>
            </w:r>
          </w:p>
        </w:tc>
      </w:tr>
      <w:tr w:rsidR="0049092C" w:rsidRPr="00CB51EC" w14:paraId="74B286AE" w14:textId="77777777" w:rsidTr="00792920">
        <w:trPr>
          <w:trHeight w:val="340"/>
          <w:jc w:val="center"/>
        </w:trPr>
        <w:tc>
          <w:tcPr>
            <w:tcW w:w="3261" w:type="dxa"/>
          </w:tcPr>
          <w:p w14:paraId="2157BBFC" w14:textId="77777777" w:rsidR="0049092C" w:rsidRPr="00CB51EC" w:rsidRDefault="0049092C" w:rsidP="00792920">
            <w:r>
              <w:t>Nikos Savvas (NS)</w:t>
            </w:r>
          </w:p>
        </w:tc>
        <w:tc>
          <w:tcPr>
            <w:tcW w:w="5811" w:type="dxa"/>
          </w:tcPr>
          <w:p w14:paraId="3DD37815" w14:textId="77777777" w:rsidR="0049092C" w:rsidRPr="00CB51EC" w:rsidRDefault="0049092C" w:rsidP="00792920">
            <w:r>
              <w:t xml:space="preserve">West Suffolk College </w:t>
            </w:r>
          </w:p>
        </w:tc>
      </w:tr>
      <w:tr w:rsidR="0049092C" w14:paraId="39278357" w14:textId="77777777" w:rsidTr="00792920">
        <w:trPr>
          <w:trHeight w:val="340"/>
          <w:jc w:val="center"/>
        </w:trPr>
        <w:tc>
          <w:tcPr>
            <w:tcW w:w="3261" w:type="dxa"/>
          </w:tcPr>
          <w:p w14:paraId="7FE5C53B" w14:textId="77777777" w:rsidR="0049092C" w:rsidRDefault="0049092C" w:rsidP="00792920">
            <w:r>
              <w:t>Holly Field (HF)</w:t>
            </w:r>
          </w:p>
        </w:tc>
        <w:tc>
          <w:tcPr>
            <w:tcW w:w="5811" w:type="dxa"/>
          </w:tcPr>
          <w:p w14:paraId="2CCC6ABC" w14:textId="77777777" w:rsidR="0049092C" w:rsidRDefault="0049092C" w:rsidP="00792920">
            <w:r>
              <w:t>Suffolk County Council (Deputising for Accountable Body S151 Officer)</w:t>
            </w:r>
          </w:p>
        </w:tc>
      </w:tr>
    </w:tbl>
    <w:p w14:paraId="1FA7B887" w14:textId="0E14DB16" w:rsidR="0049092C" w:rsidRDefault="0049092C" w:rsidP="00406290">
      <w:pPr>
        <w:spacing w:after="0"/>
        <w:rPr>
          <w:b/>
        </w:rPr>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811"/>
      </w:tblGrid>
      <w:tr w:rsidR="0049092C" w:rsidRPr="00CB51EC" w14:paraId="0BC95D2C" w14:textId="77777777" w:rsidTr="00792920">
        <w:trPr>
          <w:trHeight w:val="340"/>
          <w:jc w:val="center"/>
        </w:trPr>
        <w:tc>
          <w:tcPr>
            <w:tcW w:w="3261" w:type="dxa"/>
          </w:tcPr>
          <w:p w14:paraId="68A09DD7" w14:textId="77777777" w:rsidR="0049092C" w:rsidRPr="00CB51EC" w:rsidRDefault="0049092C" w:rsidP="00792920">
            <w:pPr>
              <w:spacing w:line="276" w:lineRule="auto"/>
            </w:pPr>
            <w:r w:rsidRPr="00CB51EC">
              <w:rPr>
                <w:b/>
              </w:rPr>
              <w:t>In Attendance:</w:t>
            </w:r>
          </w:p>
        </w:tc>
        <w:tc>
          <w:tcPr>
            <w:tcW w:w="5811" w:type="dxa"/>
          </w:tcPr>
          <w:p w14:paraId="74D43385" w14:textId="77777777" w:rsidR="0049092C" w:rsidRPr="00CB51EC" w:rsidRDefault="0049092C" w:rsidP="00792920">
            <w:pPr>
              <w:spacing w:line="276" w:lineRule="auto"/>
            </w:pPr>
          </w:p>
        </w:tc>
      </w:tr>
      <w:tr w:rsidR="0049092C" w:rsidRPr="00CB51EC" w14:paraId="5B8925D9" w14:textId="77777777" w:rsidTr="00792920">
        <w:trPr>
          <w:trHeight w:val="340"/>
          <w:jc w:val="center"/>
        </w:trPr>
        <w:tc>
          <w:tcPr>
            <w:tcW w:w="3261" w:type="dxa"/>
          </w:tcPr>
          <w:p w14:paraId="559CF8C3" w14:textId="77777777" w:rsidR="0049092C" w:rsidRPr="00CB51EC" w:rsidRDefault="0049092C" w:rsidP="00792920">
            <w:r>
              <w:t>Keith Spanton (KS)</w:t>
            </w:r>
          </w:p>
        </w:tc>
        <w:tc>
          <w:tcPr>
            <w:tcW w:w="5811" w:type="dxa"/>
          </w:tcPr>
          <w:p w14:paraId="02002B48" w14:textId="77777777" w:rsidR="0049092C" w:rsidRPr="00CB51EC" w:rsidRDefault="0049092C" w:rsidP="00792920">
            <w:r>
              <w:t>New Anglia LEP</w:t>
            </w:r>
          </w:p>
        </w:tc>
      </w:tr>
      <w:tr w:rsidR="0049092C" w:rsidRPr="00CB51EC" w14:paraId="08DC5C01" w14:textId="77777777" w:rsidTr="00792920">
        <w:trPr>
          <w:trHeight w:val="340"/>
          <w:jc w:val="center"/>
        </w:trPr>
        <w:tc>
          <w:tcPr>
            <w:tcW w:w="3261" w:type="dxa"/>
          </w:tcPr>
          <w:p w14:paraId="377DD49F" w14:textId="77777777" w:rsidR="0049092C" w:rsidRPr="00CB51EC" w:rsidRDefault="0049092C" w:rsidP="00792920">
            <w:r>
              <w:t>Marie Finbow (MF)</w:t>
            </w:r>
          </w:p>
        </w:tc>
        <w:tc>
          <w:tcPr>
            <w:tcW w:w="5811" w:type="dxa"/>
          </w:tcPr>
          <w:p w14:paraId="7152999F" w14:textId="77777777" w:rsidR="0049092C" w:rsidRPr="00CB51EC" w:rsidRDefault="0049092C" w:rsidP="00792920">
            <w:r>
              <w:t xml:space="preserve">New Anglia LEP </w:t>
            </w:r>
          </w:p>
        </w:tc>
      </w:tr>
    </w:tbl>
    <w:p w14:paraId="5125864D" w14:textId="1F6F2ADD" w:rsidR="0049092C" w:rsidRDefault="0049092C">
      <w:pPr>
        <w:rPr>
          <w:b/>
        </w:rPr>
      </w:pPr>
    </w:p>
    <w:tbl>
      <w:tblPr>
        <w:tblStyle w:val="TableGrid"/>
        <w:tblW w:w="0" w:type="auto"/>
        <w:tblLook w:val="04A0" w:firstRow="1" w:lastRow="0" w:firstColumn="1" w:lastColumn="0" w:noHBand="0" w:noVBand="1"/>
      </w:tblPr>
      <w:tblGrid>
        <w:gridCol w:w="846"/>
        <w:gridCol w:w="8170"/>
      </w:tblGrid>
      <w:tr w:rsidR="0049092C" w14:paraId="254CD059" w14:textId="77777777" w:rsidTr="0049092C">
        <w:tc>
          <w:tcPr>
            <w:tcW w:w="9016" w:type="dxa"/>
            <w:gridSpan w:val="2"/>
          </w:tcPr>
          <w:p w14:paraId="0EDBE780" w14:textId="1FF34846" w:rsidR="0049092C" w:rsidRDefault="0049092C">
            <w:pPr>
              <w:rPr>
                <w:b/>
              </w:rPr>
            </w:pPr>
            <w:r>
              <w:rPr>
                <w:b/>
              </w:rPr>
              <w:t>Actions from the Meeting</w:t>
            </w:r>
          </w:p>
        </w:tc>
      </w:tr>
      <w:tr w:rsidR="0049092C" w14:paraId="055CAC3F" w14:textId="77777777" w:rsidTr="003E31FD">
        <w:trPr>
          <w:trHeight w:val="1369"/>
        </w:trPr>
        <w:tc>
          <w:tcPr>
            <w:tcW w:w="9016" w:type="dxa"/>
            <w:gridSpan w:val="2"/>
          </w:tcPr>
          <w:p w14:paraId="0C4C1515" w14:textId="77777777" w:rsidR="00436F81" w:rsidRDefault="00820012" w:rsidP="003E31FD">
            <w:pPr>
              <w:pStyle w:val="ListParagraph"/>
              <w:numPr>
                <w:ilvl w:val="0"/>
                <w:numId w:val="3"/>
              </w:numPr>
              <w:spacing w:before="120"/>
              <w:ind w:left="589" w:hanging="425"/>
            </w:pPr>
            <w:r w:rsidRPr="00820012">
              <w:t xml:space="preserve">Committee to </w:t>
            </w:r>
            <w:r>
              <w:t>provide feedback</w:t>
            </w:r>
            <w:r w:rsidRPr="00820012">
              <w:t xml:space="preserve"> on related parties list to the auditors.</w:t>
            </w:r>
          </w:p>
          <w:p w14:paraId="2D907939" w14:textId="77777777" w:rsidR="003E31FD" w:rsidRDefault="00436F81" w:rsidP="003E31FD">
            <w:pPr>
              <w:pStyle w:val="ListParagraph"/>
              <w:numPr>
                <w:ilvl w:val="0"/>
                <w:numId w:val="3"/>
              </w:numPr>
              <w:ind w:left="589" w:hanging="425"/>
            </w:pPr>
            <w:r>
              <w:t xml:space="preserve">RW to provide a report for the LEP Board on behalf of the Audit and Risk Committee with recommendations on improving transparency and that the minutes of this meeting will be shared with the LEP Board in future. </w:t>
            </w:r>
          </w:p>
          <w:p w14:paraId="4587A6D9" w14:textId="149830AF" w:rsidR="003E31FD" w:rsidRPr="003E31FD" w:rsidRDefault="003E31FD" w:rsidP="003E31FD">
            <w:pPr>
              <w:pStyle w:val="ListParagraph"/>
              <w:numPr>
                <w:ilvl w:val="0"/>
                <w:numId w:val="3"/>
              </w:numPr>
              <w:ind w:left="589" w:hanging="425"/>
            </w:pPr>
            <w:r w:rsidRPr="003E31FD">
              <w:t xml:space="preserve">MF to review impact of Risk No 20 be reviewed as this was deemed higher than currently estimated. </w:t>
            </w:r>
          </w:p>
          <w:p w14:paraId="0EE1BEAD" w14:textId="15296B98" w:rsidR="003E31FD" w:rsidRPr="0049092C" w:rsidRDefault="003E31FD" w:rsidP="003E31FD">
            <w:pPr>
              <w:pStyle w:val="ListParagraph"/>
              <w:ind w:left="589"/>
            </w:pPr>
          </w:p>
        </w:tc>
      </w:tr>
      <w:tr w:rsidR="0049092C" w14:paraId="21E4FAAD" w14:textId="77777777" w:rsidTr="0049092C">
        <w:tc>
          <w:tcPr>
            <w:tcW w:w="846" w:type="dxa"/>
          </w:tcPr>
          <w:p w14:paraId="60EB857B" w14:textId="6F166A27" w:rsidR="0049092C" w:rsidRDefault="0049092C" w:rsidP="0049092C">
            <w:pPr>
              <w:pStyle w:val="ListParagraph"/>
              <w:tabs>
                <w:tab w:val="left" w:pos="306"/>
              </w:tabs>
              <w:ind w:left="22" w:hanging="22"/>
              <w:jc w:val="center"/>
            </w:pPr>
            <w:r>
              <w:t>1.</w:t>
            </w:r>
          </w:p>
        </w:tc>
        <w:tc>
          <w:tcPr>
            <w:tcW w:w="8170" w:type="dxa"/>
          </w:tcPr>
          <w:p w14:paraId="5B63E214" w14:textId="1472C284" w:rsidR="0049092C" w:rsidRPr="0049092C" w:rsidRDefault="0049092C" w:rsidP="0049092C">
            <w:pPr>
              <w:pStyle w:val="ListParagraph"/>
              <w:ind w:left="34"/>
              <w:rPr>
                <w:b/>
              </w:rPr>
            </w:pPr>
            <w:r w:rsidRPr="0049092C">
              <w:rPr>
                <w:b/>
              </w:rPr>
              <w:t>Welcome and Introductions</w:t>
            </w:r>
          </w:p>
        </w:tc>
      </w:tr>
      <w:tr w:rsidR="0049092C" w14:paraId="3EABD3B8" w14:textId="77777777" w:rsidTr="003E31FD">
        <w:trPr>
          <w:trHeight w:val="584"/>
        </w:trPr>
        <w:tc>
          <w:tcPr>
            <w:tcW w:w="9016" w:type="dxa"/>
            <w:gridSpan w:val="2"/>
          </w:tcPr>
          <w:p w14:paraId="09C75245" w14:textId="376593AD" w:rsidR="0049092C" w:rsidRDefault="00B17FF3" w:rsidP="003E31FD">
            <w:pPr>
              <w:pStyle w:val="ListParagraph"/>
              <w:spacing w:before="120"/>
              <w:ind w:left="34"/>
            </w:pPr>
            <w:r>
              <w:t>Nick Banks welcomed attendees to the meeting.</w:t>
            </w:r>
          </w:p>
        </w:tc>
      </w:tr>
      <w:tr w:rsidR="0049092C" w14:paraId="379DCD97" w14:textId="77777777" w:rsidTr="0049092C">
        <w:tc>
          <w:tcPr>
            <w:tcW w:w="846" w:type="dxa"/>
          </w:tcPr>
          <w:p w14:paraId="5BDE8815" w14:textId="7CE0E127" w:rsidR="0049092C" w:rsidRDefault="0049092C" w:rsidP="0049092C">
            <w:pPr>
              <w:pStyle w:val="ListParagraph"/>
              <w:tabs>
                <w:tab w:val="left" w:pos="306"/>
              </w:tabs>
              <w:ind w:left="22" w:hanging="22"/>
              <w:jc w:val="center"/>
            </w:pPr>
            <w:r>
              <w:t>2.</w:t>
            </w:r>
          </w:p>
        </w:tc>
        <w:tc>
          <w:tcPr>
            <w:tcW w:w="8170" w:type="dxa"/>
          </w:tcPr>
          <w:p w14:paraId="03178033" w14:textId="101F9E07" w:rsidR="0049092C" w:rsidRPr="0049092C" w:rsidRDefault="0049092C" w:rsidP="0049092C">
            <w:pPr>
              <w:pStyle w:val="ListParagraph"/>
              <w:ind w:left="34"/>
              <w:rPr>
                <w:b/>
              </w:rPr>
            </w:pPr>
            <w:r w:rsidRPr="0049092C">
              <w:rPr>
                <w:b/>
              </w:rPr>
              <w:t>Apologies</w:t>
            </w:r>
          </w:p>
        </w:tc>
      </w:tr>
      <w:tr w:rsidR="0049092C" w14:paraId="469FC1F9" w14:textId="77777777" w:rsidTr="003E31FD">
        <w:trPr>
          <w:trHeight w:val="583"/>
        </w:trPr>
        <w:tc>
          <w:tcPr>
            <w:tcW w:w="9016" w:type="dxa"/>
            <w:gridSpan w:val="2"/>
          </w:tcPr>
          <w:p w14:paraId="3D2B7121" w14:textId="175621C5" w:rsidR="0049092C" w:rsidRDefault="007C39AA" w:rsidP="003E31FD">
            <w:pPr>
              <w:pStyle w:val="ListParagraph"/>
              <w:spacing w:before="120"/>
              <w:ind w:left="34"/>
            </w:pPr>
            <w:r>
              <w:t>Apologies were received from Rosanne Wijnberg.</w:t>
            </w:r>
          </w:p>
        </w:tc>
      </w:tr>
      <w:tr w:rsidR="0049092C" w14:paraId="14D5AACF" w14:textId="77777777" w:rsidTr="0049092C">
        <w:tc>
          <w:tcPr>
            <w:tcW w:w="846" w:type="dxa"/>
          </w:tcPr>
          <w:p w14:paraId="518289E5" w14:textId="2B8D843A" w:rsidR="0049092C" w:rsidRDefault="0049092C" w:rsidP="0049092C">
            <w:pPr>
              <w:pStyle w:val="ListParagraph"/>
              <w:tabs>
                <w:tab w:val="left" w:pos="306"/>
              </w:tabs>
              <w:ind w:left="22" w:hanging="22"/>
              <w:jc w:val="center"/>
            </w:pPr>
            <w:r>
              <w:t>3.</w:t>
            </w:r>
          </w:p>
        </w:tc>
        <w:tc>
          <w:tcPr>
            <w:tcW w:w="8170" w:type="dxa"/>
          </w:tcPr>
          <w:p w14:paraId="17F1083C" w14:textId="5C426FAF" w:rsidR="0049092C" w:rsidRPr="0049092C" w:rsidRDefault="0049092C" w:rsidP="0049092C">
            <w:pPr>
              <w:pStyle w:val="ListParagraph"/>
              <w:ind w:left="34"/>
              <w:rPr>
                <w:b/>
              </w:rPr>
            </w:pPr>
            <w:r w:rsidRPr="0049092C">
              <w:rPr>
                <w:b/>
              </w:rPr>
              <w:t>Declarations of Interest</w:t>
            </w:r>
          </w:p>
        </w:tc>
      </w:tr>
      <w:tr w:rsidR="0049092C" w14:paraId="372F8942" w14:textId="77777777" w:rsidTr="003E31FD">
        <w:trPr>
          <w:trHeight w:val="580"/>
        </w:trPr>
        <w:tc>
          <w:tcPr>
            <w:tcW w:w="9016" w:type="dxa"/>
            <w:gridSpan w:val="2"/>
          </w:tcPr>
          <w:p w14:paraId="47B2F360" w14:textId="38A255A8" w:rsidR="0049092C" w:rsidRDefault="007C39AA" w:rsidP="003E31FD">
            <w:pPr>
              <w:pStyle w:val="ListParagraph"/>
              <w:spacing w:before="120"/>
              <w:ind w:left="34"/>
            </w:pPr>
            <w:r>
              <w:t>There were no declarations of interest.</w:t>
            </w:r>
          </w:p>
        </w:tc>
      </w:tr>
      <w:tr w:rsidR="0049092C" w14:paraId="440A603E" w14:textId="77777777" w:rsidTr="0049092C">
        <w:tc>
          <w:tcPr>
            <w:tcW w:w="846" w:type="dxa"/>
          </w:tcPr>
          <w:p w14:paraId="20E5F52E" w14:textId="6E1C1121" w:rsidR="0049092C" w:rsidRDefault="0049092C" w:rsidP="0049092C">
            <w:pPr>
              <w:pStyle w:val="ListParagraph"/>
              <w:tabs>
                <w:tab w:val="left" w:pos="306"/>
              </w:tabs>
              <w:ind w:left="22" w:hanging="22"/>
              <w:jc w:val="center"/>
            </w:pPr>
            <w:r>
              <w:t>4.</w:t>
            </w:r>
          </w:p>
        </w:tc>
        <w:tc>
          <w:tcPr>
            <w:tcW w:w="8170" w:type="dxa"/>
          </w:tcPr>
          <w:p w14:paraId="30FBB98F" w14:textId="48E1BE96" w:rsidR="0049092C" w:rsidRPr="0049092C" w:rsidRDefault="0049092C" w:rsidP="0049092C">
            <w:pPr>
              <w:pStyle w:val="ListParagraph"/>
              <w:ind w:left="34"/>
              <w:rPr>
                <w:b/>
              </w:rPr>
            </w:pPr>
            <w:r w:rsidRPr="0049092C">
              <w:rPr>
                <w:b/>
              </w:rPr>
              <w:t>Minutes from last meeting</w:t>
            </w:r>
          </w:p>
        </w:tc>
      </w:tr>
      <w:tr w:rsidR="0049092C" w14:paraId="69DBCBAE" w14:textId="77777777" w:rsidTr="003E31FD">
        <w:trPr>
          <w:trHeight w:val="579"/>
        </w:trPr>
        <w:tc>
          <w:tcPr>
            <w:tcW w:w="9016" w:type="dxa"/>
            <w:gridSpan w:val="2"/>
          </w:tcPr>
          <w:p w14:paraId="7457DD90" w14:textId="028A5937" w:rsidR="0049092C" w:rsidRDefault="00EC01FE" w:rsidP="003E31FD">
            <w:pPr>
              <w:pStyle w:val="ListParagraph"/>
              <w:spacing w:before="120"/>
              <w:ind w:left="34"/>
            </w:pPr>
            <w:r>
              <w:t xml:space="preserve">The minutes were agreed as an accurate record of the meeting. </w:t>
            </w:r>
          </w:p>
        </w:tc>
      </w:tr>
      <w:tr w:rsidR="0049092C" w14:paraId="1FDB9BD9" w14:textId="77777777" w:rsidTr="0049092C">
        <w:tc>
          <w:tcPr>
            <w:tcW w:w="846" w:type="dxa"/>
          </w:tcPr>
          <w:p w14:paraId="4DA788CF" w14:textId="7AD711B0" w:rsidR="0049092C" w:rsidRDefault="0049092C" w:rsidP="0049092C">
            <w:pPr>
              <w:pStyle w:val="ListParagraph"/>
              <w:tabs>
                <w:tab w:val="left" w:pos="306"/>
              </w:tabs>
              <w:ind w:left="22" w:hanging="22"/>
              <w:jc w:val="center"/>
            </w:pPr>
            <w:r>
              <w:t>5.</w:t>
            </w:r>
          </w:p>
        </w:tc>
        <w:tc>
          <w:tcPr>
            <w:tcW w:w="8170" w:type="dxa"/>
          </w:tcPr>
          <w:p w14:paraId="2F3859D9" w14:textId="7F360C4C" w:rsidR="0049092C" w:rsidRPr="0049092C" w:rsidRDefault="0049092C" w:rsidP="0049092C">
            <w:pPr>
              <w:pStyle w:val="ListParagraph"/>
              <w:ind w:left="34"/>
              <w:rPr>
                <w:b/>
              </w:rPr>
            </w:pPr>
            <w:r w:rsidRPr="0049092C">
              <w:rPr>
                <w:b/>
              </w:rPr>
              <w:t>Amendment to the Terms of Reference</w:t>
            </w:r>
          </w:p>
        </w:tc>
      </w:tr>
      <w:tr w:rsidR="0049092C" w14:paraId="34C873D4" w14:textId="77777777" w:rsidTr="003E31FD">
        <w:trPr>
          <w:trHeight w:val="576"/>
        </w:trPr>
        <w:tc>
          <w:tcPr>
            <w:tcW w:w="9016" w:type="dxa"/>
            <w:gridSpan w:val="2"/>
          </w:tcPr>
          <w:p w14:paraId="3A9D04A8" w14:textId="2273B2CE" w:rsidR="0049092C" w:rsidRDefault="007C39AA" w:rsidP="003E31FD">
            <w:pPr>
              <w:pStyle w:val="ListParagraph"/>
              <w:spacing w:before="120"/>
              <w:ind w:left="34"/>
            </w:pPr>
            <w:r>
              <w:t>KS explained the amendment to the Terms of Reference</w:t>
            </w:r>
            <w:r w:rsidR="00010494">
              <w:t xml:space="preserve"> which was approved.</w:t>
            </w:r>
          </w:p>
        </w:tc>
      </w:tr>
      <w:tr w:rsidR="0049092C" w14:paraId="0236E841" w14:textId="77777777" w:rsidTr="0049092C">
        <w:tc>
          <w:tcPr>
            <w:tcW w:w="846" w:type="dxa"/>
          </w:tcPr>
          <w:p w14:paraId="01DD66E6" w14:textId="267E0C3A" w:rsidR="0049092C" w:rsidRDefault="0049092C" w:rsidP="0049092C">
            <w:pPr>
              <w:pStyle w:val="ListParagraph"/>
              <w:tabs>
                <w:tab w:val="left" w:pos="306"/>
              </w:tabs>
              <w:ind w:left="22" w:hanging="22"/>
              <w:jc w:val="center"/>
            </w:pPr>
            <w:r>
              <w:t>6.</w:t>
            </w:r>
          </w:p>
        </w:tc>
        <w:tc>
          <w:tcPr>
            <w:tcW w:w="8170" w:type="dxa"/>
          </w:tcPr>
          <w:p w14:paraId="25C14313" w14:textId="3D69D4AA" w:rsidR="0049092C" w:rsidRPr="0049092C" w:rsidRDefault="0049092C" w:rsidP="0049092C">
            <w:pPr>
              <w:pStyle w:val="ListParagraph"/>
              <w:ind w:left="34"/>
              <w:rPr>
                <w:b/>
              </w:rPr>
            </w:pPr>
            <w:r w:rsidRPr="0049092C">
              <w:rPr>
                <w:b/>
              </w:rPr>
              <w:t>Review of Audit Plan – presented by Price Bailey – Confidential Item</w:t>
            </w:r>
          </w:p>
        </w:tc>
      </w:tr>
      <w:tr w:rsidR="0049092C" w14:paraId="3AD2CB4C" w14:textId="77777777" w:rsidTr="00C561F3">
        <w:tc>
          <w:tcPr>
            <w:tcW w:w="9016" w:type="dxa"/>
            <w:gridSpan w:val="2"/>
          </w:tcPr>
          <w:p w14:paraId="1D7FD513" w14:textId="77777777" w:rsidR="003E31FD" w:rsidRDefault="003E31FD" w:rsidP="00EE274E"/>
          <w:p w14:paraId="35BD962B" w14:textId="77777777" w:rsidR="00EE274E" w:rsidRDefault="00EE274E" w:rsidP="00EE274E"/>
          <w:p w14:paraId="5DB9B521" w14:textId="77777777" w:rsidR="00EE274E" w:rsidRDefault="00EE274E" w:rsidP="00EE274E"/>
          <w:p w14:paraId="54321049" w14:textId="77777777" w:rsidR="00EE274E" w:rsidRDefault="00EE274E" w:rsidP="00EE274E"/>
          <w:p w14:paraId="7E3AF1AC" w14:textId="77777777" w:rsidR="00EE274E" w:rsidRDefault="00EE274E" w:rsidP="00EE274E"/>
          <w:p w14:paraId="2A118A76" w14:textId="77777777" w:rsidR="00EE274E" w:rsidRDefault="00EE274E" w:rsidP="00EE274E"/>
          <w:p w14:paraId="6A5F3E3B" w14:textId="77777777" w:rsidR="00EE274E" w:rsidRDefault="00EE274E" w:rsidP="00EE274E"/>
          <w:p w14:paraId="44F125E4" w14:textId="77777777" w:rsidR="00EE274E" w:rsidRDefault="00EE274E" w:rsidP="00EE274E"/>
          <w:p w14:paraId="3B049B9E" w14:textId="62E34C40" w:rsidR="00EE274E" w:rsidRDefault="00EE274E" w:rsidP="00EE274E"/>
        </w:tc>
      </w:tr>
      <w:tr w:rsidR="0049092C" w14:paraId="7804EF22" w14:textId="77777777" w:rsidTr="0049092C">
        <w:tc>
          <w:tcPr>
            <w:tcW w:w="846" w:type="dxa"/>
          </w:tcPr>
          <w:p w14:paraId="426C5530" w14:textId="5B7C990B" w:rsidR="0049092C" w:rsidRDefault="0049092C" w:rsidP="0049092C">
            <w:pPr>
              <w:pStyle w:val="ListParagraph"/>
              <w:tabs>
                <w:tab w:val="left" w:pos="306"/>
              </w:tabs>
              <w:ind w:left="22" w:hanging="22"/>
              <w:jc w:val="center"/>
            </w:pPr>
            <w:r>
              <w:lastRenderedPageBreak/>
              <w:t>7.</w:t>
            </w:r>
          </w:p>
        </w:tc>
        <w:tc>
          <w:tcPr>
            <w:tcW w:w="8170" w:type="dxa"/>
          </w:tcPr>
          <w:p w14:paraId="510CEDA0" w14:textId="41AC3468" w:rsidR="0049092C" w:rsidRPr="0049092C" w:rsidRDefault="0049092C" w:rsidP="0049092C">
            <w:pPr>
              <w:pStyle w:val="ListParagraph"/>
              <w:ind w:left="34"/>
              <w:rPr>
                <w:b/>
              </w:rPr>
            </w:pPr>
            <w:r w:rsidRPr="0049092C">
              <w:rPr>
                <w:b/>
              </w:rPr>
              <w:t>Transparency of Decision Making</w:t>
            </w:r>
            <w:r w:rsidR="00400710">
              <w:rPr>
                <w:b/>
              </w:rPr>
              <w:t xml:space="preserve"> – Confidential Item</w:t>
            </w:r>
          </w:p>
        </w:tc>
      </w:tr>
      <w:tr w:rsidR="0049092C" w14:paraId="17567976" w14:textId="77777777" w:rsidTr="003E31FD">
        <w:trPr>
          <w:trHeight w:val="6227"/>
        </w:trPr>
        <w:tc>
          <w:tcPr>
            <w:tcW w:w="9016" w:type="dxa"/>
            <w:gridSpan w:val="2"/>
          </w:tcPr>
          <w:p w14:paraId="00F615D8" w14:textId="4C967130" w:rsidR="00C76B57" w:rsidRDefault="00C76B57" w:rsidP="00075D6D">
            <w:pPr>
              <w:pStyle w:val="ListParagraph"/>
              <w:ind w:left="34"/>
            </w:pPr>
          </w:p>
          <w:p w14:paraId="4281228B" w14:textId="6F16FBBF" w:rsidR="00EE274E" w:rsidRDefault="00EE274E" w:rsidP="00075D6D">
            <w:pPr>
              <w:pStyle w:val="ListParagraph"/>
              <w:ind w:left="34"/>
            </w:pPr>
          </w:p>
          <w:p w14:paraId="5FC4B2A4" w14:textId="180618EB" w:rsidR="00EE274E" w:rsidRDefault="00EE274E" w:rsidP="00075D6D">
            <w:pPr>
              <w:pStyle w:val="ListParagraph"/>
              <w:ind w:left="34"/>
            </w:pPr>
          </w:p>
          <w:p w14:paraId="3CF6B2F5" w14:textId="5F3C34B2" w:rsidR="00EE274E" w:rsidRDefault="00EE274E" w:rsidP="00075D6D">
            <w:pPr>
              <w:pStyle w:val="ListParagraph"/>
              <w:ind w:left="34"/>
            </w:pPr>
          </w:p>
          <w:p w14:paraId="23BE8CBF" w14:textId="602A4D6E" w:rsidR="00EE274E" w:rsidRDefault="00EE274E" w:rsidP="00075D6D">
            <w:pPr>
              <w:pStyle w:val="ListParagraph"/>
              <w:ind w:left="34"/>
            </w:pPr>
          </w:p>
          <w:p w14:paraId="51E97131" w14:textId="03A844CA" w:rsidR="00EE274E" w:rsidRDefault="00EE274E" w:rsidP="00075D6D">
            <w:pPr>
              <w:pStyle w:val="ListParagraph"/>
              <w:ind w:left="34"/>
            </w:pPr>
          </w:p>
          <w:p w14:paraId="6963A0A5" w14:textId="2E16BAAD" w:rsidR="00EE274E" w:rsidRDefault="00EE274E" w:rsidP="00075D6D">
            <w:pPr>
              <w:pStyle w:val="ListParagraph"/>
              <w:ind w:left="34"/>
            </w:pPr>
          </w:p>
          <w:p w14:paraId="3904456E" w14:textId="73E86AD8" w:rsidR="00EE274E" w:rsidRDefault="00EE274E" w:rsidP="00075D6D">
            <w:pPr>
              <w:pStyle w:val="ListParagraph"/>
              <w:ind w:left="34"/>
            </w:pPr>
          </w:p>
          <w:p w14:paraId="3657D129" w14:textId="61FFF2ED" w:rsidR="00EE274E" w:rsidRDefault="00EE274E" w:rsidP="00075D6D">
            <w:pPr>
              <w:pStyle w:val="ListParagraph"/>
              <w:ind w:left="34"/>
            </w:pPr>
          </w:p>
          <w:p w14:paraId="3317508E" w14:textId="207A24FD" w:rsidR="00EE274E" w:rsidRDefault="00EE274E" w:rsidP="00075D6D">
            <w:pPr>
              <w:pStyle w:val="ListParagraph"/>
              <w:ind w:left="34"/>
            </w:pPr>
          </w:p>
          <w:p w14:paraId="08E9C9BE" w14:textId="0BED2A9C" w:rsidR="00EE274E" w:rsidRDefault="00EE274E" w:rsidP="00075D6D">
            <w:pPr>
              <w:pStyle w:val="ListParagraph"/>
              <w:ind w:left="34"/>
            </w:pPr>
          </w:p>
          <w:p w14:paraId="24885912" w14:textId="1DCDDC6F" w:rsidR="00EE274E" w:rsidRDefault="00EE274E" w:rsidP="00075D6D">
            <w:pPr>
              <w:pStyle w:val="ListParagraph"/>
              <w:ind w:left="34"/>
            </w:pPr>
          </w:p>
          <w:p w14:paraId="7D8E6071" w14:textId="5A16D240" w:rsidR="00EE274E" w:rsidRDefault="00EE274E" w:rsidP="00075D6D">
            <w:pPr>
              <w:pStyle w:val="ListParagraph"/>
              <w:ind w:left="34"/>
            </w:pPr>
          </w:p>
          <w:p w14:paraId="388CBD30" w14:textId="0A42AF69" w:rsidR="00EE274E" w:rsidRDefault="00EE274E" w:rsidP="00075D6D">
            <w:pPr>
              <w:pStyle w:val="ListParagraph"/>
              <w:ind w:left="34"/>
            </w:pPr>
          </w:p>
          <w:p w14:paraId="3B5001DF" w14:textId="0764A0BB" w:rsidR="00EE274E" w:rsidRDefault="00EE274E" w:rsidP="00075D6D">
            <w:pPr>
              <w:pStyle w:val="ListParagraph"/>
              <w:ind w:left="34"/>
            </w:pPr>
          </w:p>
          <w:p w14:paraId="3A76DBCF" w14:textId="7CDB5EAD" w:rsidR="00EE274E" w:rsidRDefault="00EE274E" w:rsidP="00075D6D">
            <w:pPr>
              <w:pStyle w:val="ListParagraph"/>
              <w:ind w:left="34"/>
            </w:pPr>
          </w:p>
          <w:p w14:paraId="06CC01D2" w14:textId="5B6E8937" w:rsidR="00EE274E" w:rsidRDefault="00EE274E" w:rsidP="00075D6D">
            <w:pPr>
              <w:pStyle w:val="ListParagraph"/>
              <w:ind w:left="34"/>
            </w:pPr>
          </w:p>
          <w:p w14:paraId="3A92D81A" w14:textId="77777777" w:rsidR="00EE274E" w:rsidRDefault="00EE274E" w:rsidP="00075D6D">
            <w:pPr>
              <w:pStyle w:val="ListParagraph"/>
              <w:ind w:left="34"/>
            </w:pPr>
          </w:p>
          <w:p w14:paraId="5350903A" w14:textId="7461B702" w:rsidR="00075D6D" w:rsidRDefault="00436F81" w:rsidP="00075D6D">
            <w:pPr>
              <w:pStyle w:val="ListParagraph"/>
              <w:ind w:left="34"/>
            </w:pPr>
            <w:r>
              <w:rPr>
                <w:b/>
              </w:rPr>
              <w:t>Action:</w:t>
            </w:r>
            <w:r w:rsidR="000D0BC8">
              <w:t xml:space="preserve"> </w:t>
            </w:r>
            <w:r w:rsidR="00C76B57">
              <w:t xml:space="preserve">RW </w:t>
            </w:r>
            <w:r>
              <w:t>to</w:t>
            </w:r>
            <w:r w:rsidR="000D0BC8">
              <w:t xml:space="preserve"> provide a report for the LEP Board on behalf of the Audit and Risk Committee with recommendations on </w:t>
            </w:r>
            <w:r w:rsidR="00C76B57">
              <w:t>improving transparency</w:t>
            </w:r>
            <w:r w:rsidR="000D0BC8">
              <w:t xml:space="preserve"> and that the minutes of this meeting will be shared with the LEP Board in future. </w:t>
            </w:r>
          </w:p>
          <w:p w14:paraId="1F11C132" w14:textId="072D589C" w:rsidR="00A201FE" w:rsidRDefault="00A201FE" w:rsidP="00075D6D">
            <w:pPr>
              <w:pStyle w:val="ListParagraph"/>
              <w:ind w:left="34"/>
            </w:pPr>
          </w:p>
          <w:p w14:paraId="210D53D9" w14:textId="4A714027" w:rsidR="00075D6D" w:rsidRDefault="004F775F" w:rsidP="003E31FD">
            <w:pPr>
              <w:pStyle w:val="ListParagraph"/>
              <w:ind w:left="34"/>
            </w:pPr>
            <w:r>
              <w:t>NB</w:t>
            </w:r>
            <w:r w:rsidR="000D0BC8">
              <w:t xml:space="preserve"> volunteered, as Independent Chair of the Audit and Risk Committee, to attend the LEP Board and put forward the Committee’s views </w:t>
            </w:r>
            <w:r>
              <w:t>to</w:t>
            </w:r>
            <w:r w:rsidR="000D0BC8">
              <w:t xml:space="preserve"> the</w:t>
            </w:r>
            <w:r>
              <w:t xml:space="preserve"> LEP Board.</w:t>
            </w:r>
          </w:p>
        </w:tc>
      </w:tr>
      <w:tr w:rsidR="0049092C" w14:paraId="4CF83F45" w14:textId="77777777" w:rsidTr="0049092C">
        <w:tc>
          <w:tcPr>
            <w:tcW w:w="846" w:type="dxa"/>
          </w:tcPr>
          <w:p w14:paraId="06792710" w14:textId="1B92ACA9" w:rsidR="0049092C" w:rsidRDefault="0049092C" w:rsidP="0049092C">
            <w:pPr>
              <w:pStyle w:val="ListParagraph"/>
              <w:tabs>
                <w:tab w:val="left" w:pos="306"/>
              </w:tabs>
              <w:ind w:left="22" w:hanging="22"/>
              <w:jc w:val="center"/>
            </w:pPr>
            <w:r>
              <w:t>8.</w:t>
            </w:r>
          </w:p>
        </w:tc>
        <w:tc>
          <w:tcPr>
            <w:tcW w:w="8170" w:type="dxa"/>
          </w:tcPr>
          <w:p w14:paraId="70DC42B6" w14:textId="7784E8A4" w:rsidR="0049092C" w:rsidRPr="0049092C" w:rsidRDefault="0049092C" w:rsidP="0049092C">
            <w:pPr>
              <w:pStyle w:val="ListParagraph"/>
              <w:ind w:left="34"/>
              <w:rPr>
                <w:b/>
              </w:rPr>
            </w:pPr>
            <w:r w:rsidRPr="0049092C">
              <w:rPr>
                <w:b/>
              </w:rPr>
              <w:t xml:space="preserve">Review of Corporate Risk Register </w:t>
            </w:r>
            <w:r w:rsidR="00EE274E">
              <w:rPr>
                <w:b/>
              </w:rPr>
              <w:t xml:space="preserve"> </w:t>
            </w:r>
            <w:bookmarkStart w:id="0" w:name="_GoBack"/>
            <w:bookmarkEnd w:id="0"/>
          </w:p>
        </w:tc>
      </w:tr>
      <w:tr w:rsidR="0049092C" w14:paraId="789A8E01" w14:textId="77777777" w:rsidTr="00675584">
        <w:tc>
          <w:tcPr>
            <w:tcW w:w="9016" w:type="dxa"/>
            <w:gridSpan w:val="2"/>
          </w:tcPr>
          <w:p w14:paraId="37C942A4" w14:textId="0BB02B13" w:rsidR="001874B6" w:rsidRDefault="001874B6" w:rsidP="003E31FD">
            <w:pPr>
              <w:spacing w:before="120"/>
            </w:pPr>
            <w:r>
              <w:t>MF provided the following update to the Board:</w:t>
            </w:r>
          </w:p>
          <w:p w14:paraId="00713D84" w14:textId="77777777" w:rsidR="001874B6" w:rsidRDefault="001874B6" w:rsidP="001874B6"/>
          <w:p w14:paraId="3EB53D3F" w14:textId="46D435DE" w:rsidR="001874B6" w:rsidRDefault="001874B6" w:rsidP="001874B6">
            <w:r>
              <w:t xml:space="preserve">There </w:t>
            </w:r>
            <w:proofErr w:type="gramStart"/>
            <w:r>
              <w:t>are</w:t>
            </w:r>
            <w:proofErr w:type="gramEnd"/>
            <w:r>
              <w:t xml:space="preserve"> a total of </w:t>
            </w:r>
            <w:r w:rsidR="0030783B">
              <w:t xml:space="preserve">21 </w:t>
            </w:r>
            <w:r>
              <w:t xml:space="preserve">risks </w:t>
            </w:r>
            <w:r w:rsidR="0030783B">
              <w:t>on the risk register – these are rated as follows:</w:t>
            </w:r>
          </w:p>
          <w:p w14:paraId="56236661" w14:textId="77777777" w:rsidR="0030783B" w:rsidRDefault="0030783B" w:rsidP="001874B6"/>
          <w:tbl>
            <w:tblPr>
              <w:tblStyle w:val="TableGrid"/>
              <w:tblW w:w="0" w:type="auto"/>
              <w:tblInd w:w="2122" w:type="dxa"/>
              <w:tblLook w:val="04A0" w:firstRow="1" w:lastRow="0" w:firstColumn="1" w:lastColumn="0" w:noHBand="0" w:noVBand="1"/>
            </w:tblPr>
            <w:tblGrid>
              <w:gridCol w:w="1129"/>
              <w:gridCol w:w="1134"/>
              <w:gridCol w:w="1134"/>
              <w:gridCol w:w="1134"/>
            </w:tblGrid>
            <w:tr w:rsidR="001874B6" w14:paraId="7ADA7DE8" w14:textId="77777777" w:rsidTr="0030783B">
              <w:tc>
                <w:tcPr>
                  <w:tcW w:w="1129" w:type="dxa"/>
                </w:tcPr>
                <w:p w14:paraId="49FB5E12" w14:textId="77777777" w:rsidR="001874B6" w:rsidRPr="00AE4E52" w:rsidRDefault="001874B6" w:rsidP="001874B6">
                  <w:pPr>
                    <w:jc w:val="center"/>
                    <w:rPr>
                      <w:b/>
                    </w:rPr>
                  </w:pPr>
                  <w:r w:rsidRPr="00AE4E52">
                    <w:rPr>
                      <w:b/>
                    </w:rPr>
                    <w:t>Red</w:t>
                  </w:r>
                </w:p>
              </w:tc>
              <w:tc>
                <w:tcPr>
                  <w:tcW w:w="1134" w:type="dxa"/>
                </w:tcPr>
                <w:p w14:paraId="4B54BD9E" w14:textId="77777777" w:rsidR="001874B6" w:rsidRPr="00AE4E52" w:rsidRDefault="001874B6" w:rsidP="001874B6">
                  <w:pPr>
                    <w:jc w:val="center"/>
                    <w:rPr>
                      <w:b/>
                    </w:rPr>
                  </w:pPr>
                  <w:r w:rsidRPr="00AE4E52">
                    <w:rPr>
                      <w:b/>
                    </w:rPr>
                    <w:t>Amber</w:t>
                  </w:r>
                </w:p>
              </w:tc>
              <w:tc>
                <w:tcPr>
                  <w:tcW w:w="1134" w:type="dxa"/>
                </w:tcPr>
                <w:p w14:paraId="0CFB3184" w14:textId="77777777" w:rsidR="001874B6" w:rsidRPr="00AE4E52" w:rsidRDefault="001874B6" w:rsidP="001874B6">
                  <w:pPr>
                    <w:jc w:val="center"/>
                    <w:rPr>
                      <w:b/>
                    </w:rPr>
                  </w:pPr>
                  <w:r w:rsidRPr="00AE4E52">
                    <w:rPr>
                      <w:b/>
                    </w:rPr>
                    <w:t>Green</w:t>
                  </w:r>
                </w:p>
              </w:tc>
              <w:tc>
                <w:tcPr>
                  <w:tcW w:w="1134" w:type="dxa"/>
                </w:tcPr>
                <w:p w14:paraId="1BA743A3" w14:textId="77777777" w:rsidR="001874B6" w:rsidRPr="00AE4E52" w:rsidRDefault="001874B6" w:rsidP="001874B6">
                  <w:pPr>
                    <w:jc w:val="center"/>
                    <w:rPr>
                      <w:b/>
                    </w:rPr>
                  </w:pPr>
                  <w:r w:rsidRPr="00AE4E52">
                    <w:rPr>
                      <w:b/>
                    </w:rPr>
                    <w:t>Met</w:t>
                  </w:r>
                </w:p>
              </w:tc>
            </w:tr>
            <w:tr w:rsidR="001874B6" w14:paraId="5144C161" w14:textId="77777777" w:rsidTr="0030783B">
              <w:tc>
                <w:tcPr>
                  <w:tcW w:w="1129" w:type="dxa"/>
                </w:tcPr>
                <w:p w14:paraId="2B1D283D" w14:textId="77777777" w:rsidR="001874B6" w:rsidRDefault="001874B6" w:rsidP="001874B6">
                  <w:pPr>
                    <w:jc w:val="center"/>
                  </w:pPr>
                  <w:r>
                    <w:t>0</w:t>
                  </w:r>
                </w:p>
              </w:tc>
              <w:tc>
                <w:tcPr>
                  <w:tcW w:w="1134" w:type="dxa"/>
                </w:tcPr>
                <w:p w14:paraId="189D88D9" w14:textId="77777777" w:rsidR="001874B6" w:rsidRDefault="001874B6" w:rsidP="001874B6">
                  <w:pPr>
                    <w:jc w:val="center"/>
                  </w:pPr>
                  <w:r>
                    <w:t>4</w:t>
                  </w:r>
                </w:p>
              </w:tc>
              <w:tc>
                <w:tcPr>
                  <w:tcW w:w="1134" w:type="dxa"/>
                </w:tcPr>
                <w:p w14:paraId="6E97BAC1" w14:textId="77777777" w:rsidR="001874B6" w:rsidRDefault="001874B6" w:rsidP="001874B6">
                  <w:pPr>
                    <w:jc w:val="center"/>
                  </w:pPr>
                  <w:r>
                    <w:t>6</w:t>
                  </w:r>
                </w:p>
              </w:tc>
              <w:tc>
                <w:tcPr>
                  <w:tcW w:w="1134" w:type="dxa"/>
                </w:tcPr>
                <w:p w14:paraId="4DE47AB8" w14:textId="77777777" w:rsidR="001874B6" w:rsidRDefault="001874B6" w:rsidP="001874B6">
                  <w:pPr>
                    <w:jc w:val="center"/>
                  </w:pPr>
                  <w:r>
                    <w:t>11</w:t>
                  </w:r>
                </w:p>
              </w:tc>
            </w:tr>
          </w:tbl>
          <w:p w14:paraId="55BB8C97" w14:textId="77777777" w:rsidR="001874B6" w:rsidRDefault="001874B6" w:rsidP="001874B6"/>
          <w:p w14:paraId="170D5B58" w14:textId="77777777" w:rsidR="001874B6" w:rsidRDefault="001874B6" w:rsidP="001874B6">
            <w:r>
              <w:t>Since the last meeting of the Audit and Risk Committee the following changes have occurred:</w:t>
            </w:r>
          </w:p>
          <w:p w14:paraId="7675F451" w14:textId="77777777" w:rsidR="00AE4E52" w:rsidRPr="00AE4E52" w:rsidRDefault="001874B6" w:rsidP="001874B6">
            <w:pPr>
              <w:pStyle w:val="ListParagraph"/>
              <w:numPr>
                <w:ilvl w:val="0"/>
                <w:numId w:val="1"/>
              </w:numPr>
              <w:spacing w:after="160" w:line="259" w:lineRule="auto"/>
            </w:pPr>
            <w:r w:rsidRPr="00AE4E52">
              <w:rPr>
                <w:b/>
              </w:rPr>
              <w:t>Risk No. 4</w:t>
            </w:r>
            <w:r>
              <w:t xml:space="preserve"> </w:t>
            </w:r>
            <w:r w:rsidR="00AE4E52" w:rsidRPr="00AE4E52">
              <w:rPr>
                <w:b/>
                <w:bCs/>
              </w:rPr>
              <w:t>Change of National Policy (Owner: Chris Starkie)</w:t>
            </w:r>
          </w:p>
          <w:p w14:paraId="262AADDB" w14:textId="77777777" w:rsidR="001874B6" w:rsidRDefault="001874B6" w:rsidP="001874B6">
            <w:pPr>
              <w:pStyle w:val="ListParagraph"/>
              <w:rPr>
                <w:lang w:val="en-US"/>
              </w:rPr>
            </w:pPr>
            <w:r w:rsidRPr="00AE4E52">
              <w:t xml:space="preserve">This risk has reduced from a RAG rating of 12 to a RAG rating of 8 reflecting the solid reputation that the LEP has built with Government for delivery and our positive profile with officials and minsters of all parties. The Government’s LEP review has confirmed the role of LEPs in leading local economic growth and leading the development of Local Industrial Strategies. </w:t>
            </w:r>
            <w:r w:rsidRPr="00AE4E52">
              <w:rPr>
                <w:lang w:val="en-US"/>
              </w:rPr>
              <w:t>Ministers have confirmed their support for New Anglia LEP's review implementation plan and have stated that LEPs will play a central role in the new UK Shared Prosperity Fund.</w:t>
            </w:r>
            <w:r>
              <w:rPr>
                <w:lang w:val="en-US"/>
              </w:rPr>
              <w:t xml:space="preserve"> </w:t>
            </w:r>
          </w:p>
          <w:p w14:paraId="4E5C69B9" w14:textId="77777777" w:rsidR="001874B6" w:rsidRDefault="001874B6" w:rsidP="001874B6">
            <w:pPr>
              <w:pStyle w:val="ListParagraph"/>
              <w:rPr>
                <w:lang w:val="en-US"/>
              </w:rPr>
            </w:pPr>
          </w:p>
          <w:p w14:paraId="4A50BCC4" w14:textId="77777777" w:rsidR="001874B6" w:rsidRPr="00AE4E52" w:rsidRDefault="001874B6" w:rsidP="001874B6">
            <w:pPr>
              <w:pStyle w:val="ListParagraph"/>
              <w:spacing w:after="160" w:line="259" w:lineRule="auto"/>
            </w:pPr>
            <w:r>
              <w:rPr>
                <w:lang w:val="en-US"/>
              </w:rPr>
              <w:t>There being no further mitigating actions to be put in place – this risk is now met.</w:t>
            </w:r>
          </w:p>
          <w:p w14:paraId="16668DE3" w14:textId="77777777" w:rsidR="001874B6" w:rsidRDefault="001874B6" w:rsidP="001874B6">
            <w:pPr>
              <w:pStyle w:val="ListParagraph"/>
            </w:pPr>
          </w:p>
          <w:p w14:paraId="775DF968" w14:textId="77777777" w:rsidR="001874B6" w:rsidRDefault="001874B6" w:rsidP="001874B6">
            <w:pPr>
              <w:pStyle w:val="ListParagraph"/>
              <w:numPr>
                <w:ilvl w:val="0"/>
                <w:numId w:val="1"/>
              </w:numPr>
            </w:pPr>
            <w:r>
              <w:t xml:space="preserve">As the LEP Exec staffing has increased, responsibility for some risks has changed to new members of staff: </w:t>
            </w:r>
          </w:p>
          <w:p w14:paraId="6B35F09B" w14:textId="77777777" w:rsidR="001874B6" w:rsidRDefault="001874B6" w:rsidP="001874B6">
            <w:pPr>
              <w:pStyle w:val="ListParagraph"/>
              <w:numPr>
                <w:ilvl w:val="1"/>
                <w:numId w:val="1"/>
              </w:numPr>
            </w:pPr>
            <w:r>
              <w:t>Risk No. 11 (Growth Deal) – Jonathan Rudd (from Emily Manser)</w:t>
            </w:r>
          </w:p>
          <w:p w14:paraId="0F5C64D2" w14:textId="77777777" w:rsidR="001874B6" w:rsidRDefault="001874B6" w:rsidP="001874B6">
            <w:pPr>
              <w:pStyle w:val="ListParagraph"/>
              <w:numPr>
                <w:ilvl w:val="1"/>
                <w:numId w:val="1"/>
              </w:numPr>
            </w:pPr>
            <w:r>
              <w:t>Risk No. 15 (European Funding programmes) – Emma Taylor (from Chris Dashper)</w:t>
            </w:r>
            <w:r w:rsidRPr="00F22D4B">
              <w:t xml:space="preserve"> </w:t>
            </w:r>
          </w:p>
          <w:p w14:paraId="66947F2A" w14:textId="77777777" w:rsidR="001874B6" w:rsidRDefault="001874B6" w:rsidP="001874B6">
            <w:pPr>
              <w:pStyle w:val="ListParagraph"/>
              <w:numPr>
                <w:ilvl w:val="1"/>
                <w:numId w:val="1"/>
              </w:numPr>
            </w:pPr>
            <w:r>
              <w:t>Risk No. 16 (Brexit) – James Allen (from Chris Dashper)</w:t>
            </w:r>
          </w:p>
          <w:p w14:paraId="2962EEB0" w14:textId="77777777" w:rsidR="0049092C" w:rsidRDefault="0049092C" w:rsidP="0049092C">
            <w:pPr>
              <w:pStyle w:val="ListParagraph"/>
              <w:ind w:left="34"/>
            </w:pPr>
          </w:p>
          <w:p w14:paraId="33E5F70C" w14:textId="5BFDCDDC" w:rsidR="00557C5E" w:rsidRDefault="00557C5E" w:rsidP="0049092C">
            <w:pPr>
              <w:pStyle w:val="ListParagraph"/>
              <w:ind w:left="34"/>
            </w:pPr>
            <w:r>
              <w:lastRenderedPageBreak/>
              <w:t>Management Committee continues to monitor the strategic risks on a monthly basis.</w:t>
            </w:r>
          </w:p>
          <w:p w14:paraId="32CF6AC2" w14:textId="5A3F554A" w:rsidR="00526076" w:rsidRDefault="00526076" w:rsidP="0049092C">
            <w:pPr>
              <w:pStyle w:val="ListParagraph"/>
              <w:ind w:left="34"/>
            </w:pPr>
          </w:p>
          <w:p w14:paraId="4E535246" w14:textId="7DAD2880" w:rsidR="00526076" w:rsidRPr="003E31FD" w:rsidRDefault="003E31FD" w:rsidP="0049092C">
            <w:pPr>
              <w:pStyle w:val="ListParagraph"/>
              <w:ind w:left="34"/>
              <w:rPr>
                <w:b/>
              </w:rPr>
            </w:pPr>
            <w:r w:rsidRPr="003E31FD">
              <w:rPr>
                <w:b/>
              </w:rPr>
              <w:t xml:space="preserve">Action: MF to review impact of </w:t>
            </w:r>
            <w:r w:rsidR="00526076" w:rsidRPr="003E31FD">
              <w:rPr>
                <w:b/>
              </w:rPr>
              <w:t xml:space="preserve">Risk No 20 </w:t>
            </w:r>
            <w:r w:rsidRPr="003E31FD">
              <w:rPr>
                <w:b/>
              </w:rPr>
              <w:t xml:space="preserve">be reviewed as this was deemed higher than currently estimated. </w:t>
            </w:r>
          </w:p>
          <w:p w14:paraId="56398B1C" w14:textId="4A86E402" w:rsidR="00557C5E" w:rsidRDefault="00557C5E" w:rsidP="003E31FD">
            <w:pPr>
              <w:pStyle w:val="ListParagraph"/>
              <w:ind w:left="34"/>
            </w:pPr>
          </w:p>
        </w:tc>
      </w:tr>
      <w:tr w:rsidR="0049092C" w14:paraId="1821EF73" w14:textId="77777777" w:rsidTr="0049092C">
        <w:tc>
          <w:tcPr>
            <w:tcW w:w="846" w:type="dxa"/>
          </w:tcPr>
          <w:p w14:paraId="29379283" w14:textId="37430C64" w:rsidR="0049092C" w:rsidRDefault="0049092C" w:rsidP="0049092C">
            <w:pPr>
              <w:pStyle w:val="ListParagraph"/>
              <w:tabs>
                <w:tab w:val="left" w:pos="306"/>
              </w:tabs>
              <w:ind w:left="22" w:hanging="22"/>
              <w:jc w:val="center"/>
            </w:pPr>
            <w:r>
              <w:lastRenderedPageBreak/>
              <w:t>9.</w:t>
            </w:r>
          </w:p>
        </w:tc>
        <w:tc>
          <w:tcPr>
            <w:tcW w:w="8170" w:type="dxa"/>
          </w:tcPr>
          <w:p w14:paraId="53FC7BB0" w14:textId="0D409B3E" w:rsidR="0049092C" w:rsidRPr="0049092C" w:rsidRDefault="0049092C" w:rsidP="0049092C">
            <w:pPr>
              <w:pStyle w:val="ListParagraph"/>
              <w:ind w:left="34"/>
              <w:rPr>
                <w:b/>
              </w:rPr>
            </w:pPr>
            <w:r w:rsidRPr="0049092C">
              <w:rPr>
                <w:b/>
              </w:rPr>
              <w:t>Meeting Schedule and Dates</w:t>
            </w:r>
          </w:p>
        </w:tc>
      </w:tr>
      <w:tr w:rsidR="0049092C" w14:paraId="488DB837" w14:textId="77777777" w:rsidTr="00CC1156">
        <w:tc>
          <w:tcPr>
            <w:tcW w:w="9016" w:type="dxa"/>
            <w:gridSpan w:val="2"/>
          </w:tcPr>
          <w:p w14:paraId="1677698A" w14:textId="72C1ADE4" w:rsidR="0049092C" w:rsidRDefault="0030783B" w:rsidP="003E31FD">
            <w:pPr>
              <w:pStyle w:val="ListParagraph"/>
              <w:spacing w:before="120"/>
              <w:ind w:left="34"/>
            </w:pPr>
            <w:r>
              <w:t xml:space="preserve">The following meeting schedule was agreed: </w:t>
            </w:r>
          </w:p>
          <w:p w14:paraId="798FA4FB" w14:textId="3B163FC3" w:rsidR="0030783B" w:rsidRDefault="00B21179" w:rsidP="0030783B">
            <w:pPr>
              <w:pStyle w:val="ListParagraph"/>
              <w:numPr>
                <w:ilvl w:val="0"/>
                <w:numId w:val="1"/>
              </w:numPr>
            </w:pPr>
            <w:r>
              <w:t>1</w:t>
            </w:r>
            <w:r w:rsidR="0030783B">
              <w:t xml:space="preserve"> July 2019</w:t>
            </w:r>
            <w:r>
              <w:t>, 8am in Centrum (with breakfast)</w:t>
            </w:r>
          </w:p>
          <w:p w14:paraId="3F1C2FA7" w14:textId="2E4A9157" w:rsidR="0030783B" w:rsidRDefault="00B21179" w:rsidP="0030783B">
            <w:pPr>
              <w:pStyle w:val="ListParagraph"/>
              <w:numPr>
                <w:ilvl w:val="0"/>
                <w:numId w:val="1"/>
              </w:numPr>
            </w:pPr>
            <w:r>
              <w:t>w/c 10</w:t>
            </w:r>
            <w:r w:rsidR="0030783B">
              <w:t xml:space="preserve"> February 2020 (Suffolk)</w:t>
            </w:r>
          </w:p>
          <w:p w14:paraId="0714EB26" w14:textId="3C1CFCD4" w:rsidR="0030783B" w:rsidRDefault="0030783B" w:rsidP="0030783B">
            <w:pPr>
              <w:pStyle w:val="ListParagraph"/>
            </w:pPr>
          </w:p>
        </w:tc>
      </w:tr>
      <w:tr w:rsidR="0049092C" w14:paraId="4D625798" w14:textId="77777777" w:rsidTr="0049092C">
        <w:tc>
          <w:tcPr>
            <w:tcW w:w="846" w:type="dxa"/>
          </w:tcPr>
          <w:p w14:paraId="16A3E05D" w14:textId="560C47A0" w:rsidR="0049092C" w:rsidRDefault="0049092C" w:rsidP="0049092C">
            <w:pPr>
              <w:pStyle w:val="ListParagraph"/>
              <w:tabs>
                <w:tab w:val="left" w:pos="306"/>
              </w:tabs>
              <w:ind w:left="22" w:hanging="22"/>
              <w:jc w:val="center"/>
            </w:pPr>
            <w:r>
              <w:t>10.</w:t>
            </w:r>
          </w:p>
        </w:tc>
        <w:tc>
          <w:tcPr>
            <w:tcW w:w="8170" w:type="dxa"/>
          </w:tcPr>
          <w:p w14:paraId="27E31326" w14:textId="114D6FB2" w:rsidR="0049092C" w:rsidRPr="0049092C" w:rsidRDefault="0049092C" w:rsidP="0049092C">
            <w:pPr>
              <w:pStyle w:val="ListParagraph"/>
              <w:ind w:left="34"/>
              <w:rPr>
                <w:b/>
              </w:rPr>
            </w:pPr>
            <w:r w:rsidRPr="0049092C">
              <w:rPr>
                <w:b/>
              </w:rPr>
              <w:t>Any Other Business</w:t>
            </w:r>
          </w:p>
        </w:tc>
      </w:tr>
      <w:tr w:rsidR="0049092C" w14:paraId="14E37586" w14:textId="77777777" w:rsidTr="004044BD">
        <w:trPr>
          <w:trHeight w:val="399"/>
        </w:trPr>
        <w:tc>
          <w:tcPr>
            <w:tcW w:w="9016" w:type="dxa"/>
            <w:gridSpan w:val="2"/>
          </w:tcPr>
          <w:p w14:paraId="46ED33A7" w14:textId="380C967B" w:rsidR="0049092C" w:rsidRDefault="00A72391" w:rsidP="003E31FD">
            <w:pPr>
              <w:pStyle w:val="ListParagraph"/>
              <w:spacing w:before="120"/>
              <w:ind w:left="34"/>
            </w:pPr>
            <w:r>
              <w:t>None.</w:t>
            </w:r>
          </w:p>
        </w:tc>
      </w:tr>
    </w:tbl>
    <w:p w14:paraId="7E56573E" w14:textId="55F5C34D" w:rsidR="0049092C" w:rsidRDefault="0049092C">
      <w:pPr>
        <w:rPr>
          <w:b/>
        </w:rPr>
      </w:pPr>
    </w:p>
    <w:p w14:paraId="505239E9" w14:textId="7D8490C8" w:rsidR="00A72391" w:rsidRDefault="00A72391">
      <w:pPr>
        <w:rPr>
          <w:b/>
        </w:rPr>
      </w:pPr>
    </w:p>
    <w:p w14:paraId="61B3537F" w14:textId="57F723AF" w:rsidR="00A72391" w:rsidRPr="00A72391" w:rsidRDefault="00A72391">
      <w:r w:rsidRPr="00A72391">
        <w:t>There being no further business, the meeting closed at 11.00 am.</w:t>
      </w:r>
    </w:p>
    <w:sectPr w:rsidR="00A72391" w:rsidRPr="00A72391" w:rsidSect="0040629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885E1" w14:textId="77777777" w:rsidR="0049092C" w:rsidRDefault="0049092C" w:rsidP="0049092C">
      <w:pPr>
        <w:spacing w:after="0" w:line="240" w:lineRule="auto"/>
      </w:pPr>
      <w:r>
        <w:separator/>
      </w:r>
    </w:p>
  </w:endnote>
  <w:endnote w:type="continuationSeparator" w:id="0">
    <w:p w14:paraId="50EC1A32" w14:textId="77777777" w:rsidR="0049092C" w:rsidRDefault="0049092C" w:rsidP="0049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3D19E" w14:textId="77777777" w:rsidR="003E6AE0" w:rsidRDefault="003E6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2E85" w14:textId="77777777" w:rsidR="008A26B0" w:rsidRDefault="008A26B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555DFF2" w14:textId="77777777" w:rsidR="008A26B0" w:rsidRDefault="008A26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0CE19" w14:textId="77777777" w:rsidR="003E6AE0" w:rsidRDefault="003E6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E4A3F" w14:textId="77777777" w:rsidR="0049092C" w:rsidRDefault="0049092C" w:rsidP="0049092C">
      <w:pPr>
        <w:spacing w:after="0" w:line="240" w:lineRule="auto"/>
      </w:pPr>
      <w:r>
        <w:separator/>
      </w:r>
    </w:p>
  </w:footnote>
  <w:footnote w:type="continuationSeparator" w:id="0">
    <w:p w14:paraId="251F21D5" w14:textId="77777777" w:rsidR="0049092C" w:rsidRDefault="0049092C" w:rsidP="0049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EA6AF" w14:textId="77777777" w:rsidR="003E6AE0" w:rsidRDefault="003E6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5FA8C" w14:textId="25869B13" w:rsidR="003E6AE0" w:rsidRDefault="003E6A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0209" w14:textId="77777777" w:rsidR="003E6AE0" w:rsidRDefault="003E6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569"/>
    <w:multiLevelType w:val="hybridMultilevel"/>
    <w:tmpl w:val="7A86F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275114"/>
    <w:multiLevelType w:val="hybridMultilevel"/>
    <w:tmpl w:val="5E28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9C07D0"/>
    <w:multiLevelType w:val="hybridMultilevel"/>
    <w:tmpl w:val="C9EC124E"/>
    <w:lvl w:ilvl="0" w:tplc="98C084D8">
      <w:start w:val="1"/>
      <w:numFmt w:val="bullet"/>
      <w:lvlText w:val="•"/>
      <w:lvlJc w:val="left"/>
      <w:pPr>
        <w:tabs>
          <w:tab w:val="num" w:pos="720"/>
        </w:tabs>
        <w:ind w:left="720" w:hanging="360"/>
      </w:pPr>
      <w:rPr>
        <w:rFonts w:ascii="Arial" w:hAnsi="Arial" w:hint="default"/>
      </w:rPr>
    </w:lvl>
    <w:lvl w:ilvl="1" w:tplc="CDFE34F4" w:tentative="1">
      <w:start w:val="1"/>
      <w:numFmt w:val="bullet"/>
      <w:lvlText w:val="•"/>
      <w:lvlJc w:val="left"/>
      <w:pPr>
        <w:tabs>
          <w:tab w:val="num" w:pos="1440"/>
        </w:tabs>
        <w:ind w:left="1440" w:hanging="360"/>
      </w:pPr>
      <w:rPr>
        <w:rFonts w:ascii="Arial" w:hAnsi="Arial" w:hint="default"/>
      </w:rPr>
    </w:lvl>
    <w:lvl w:ilvl="2" w:tplc="E612F708" w:tentative="1">
      <w:start w:val="1"/>
      <w:numFmt w:val="bullet"/>
      <w:lvlText w:val="•"/>
      <w:lvlJc w:val="left"/>
      <w:pPr>
        <w:tabs>
          <w:tab w:val="num" w:pos="2160"/>
        </w:tabs>
        <w:ind w:left="2160" w:hanging="360"/>
      </w:pPr>
      <w:rPr>
        <w:rFonts w:ascii="Arial" w:hAnsi="Arial" w:hint="default"/>
      </w:rPr>
    </w:lvl>
    <w:lvl w:ilvl="3" w:tplc="8524293A" w:tentative="1">
      <w:start w:val="1"/>
      <w:numFmt w:val="bullet"/>
      <w:lvlText w:val="•"/>
      <w:lvlJc w:val="left"/>
      <w:pPr>
        <w:tabs>
          <w:tab w:val="num" w:pos="2880"/>
        </w:tabs>
        <w:ind w:left="2880" w:hanging="360"/>
      </w:pPr>
      <w:rPr>
        <w:rFonts w:ascii="Arial" w:hAnsi="Arial" w:hint="default"/>
      </w:rPr>
    </w:lvl>
    <w:lvl w:ilvl="4" w:tplc="EDEC409A" w:tentative="1">
      <w:start w:val="1"/>
      <w:numFmt w:val="bullet"/>
      <w:lvlText w:val="•"/>
      <w:lvlJc w:val="left"/>
      <w:pPr>
        <w:tabs>
          <w:tab w:val="num" w:pos="3600"/>
        </w:tabs>
        <w:ind w:left="3600" w:hanging="360"/>
      </w:pPr>
      <w:rPr>
        <w:rFonts w:ascii="Arial" w:hAnsi="Arial" w:hint="default"/>
      </w:rPr>
    </w:lvl>
    <w:lvl w:ilvl="5" w:tplc="B9265C70" w:tentative="1">
      <w:start w:val="1"/>
      <w:numFmt w:val="bullet"/>
      <w:lvlText w:val="•"/>
      <w:lvlJc w:val="left"/>
      <w:pPr>
        <w:tabs>
          <w:tab w:val="num" w:pos="4320"/>
        </w:tabs>
        <w:ind w:left="4320" w:hanging="360"/>
      </w:pPr>
      <w:rPr>
        <w:rFonts w:ascii="Arial" w:hAnsi="Arial" w:hint="default"/>
      </w:rPr>
    </w:lvl>
    <w:lvl w:ilvl="6" w:tplc="8A14A350" w:tentative="1">
      <w:start w:val="1"/>
      <w:numFmt w:val="bullet"/>
      <w:lvlText w:val="•"/>
      <w:lvlJc w:val="left"/>
      <w:pPr>
        <w:tabs>
          <w:tab w:val="num" w:pos="5040"/>
        </w:tabs>
        <w:ind w:left="5040" w:hanging="360"/>
      </w:pPr>
      <w:rPr>
        <w:rFonts w:ascii="Arial" w:hAnsi="Arial" w:hint="default"/>
      </w:rPr>
    </w:lvl>
    <w:lvl w:ilvl="7" w:tplc="CD5CF3B6" w:tentative="1">
      <w:start w:val="1"/>
      <w:numFmt w:val="bullet"/>
      <w:lvlText w:val="•"/>
      <w:lvlJc w:val="left"/>
      <w:pPr>
        <w:tabs>
          <w:tab w:val="num" w:pos="5760"/>
        </w:tabs>
        <w:ind w:left="5760" w:hanging="360"/>
      </w:pPr>
      <w:rPr>
        <w:rFonts w:ascii="Arial" w:hAnsi="Arial" w:hint="default"/>
      </w:rPr>
    </w:lvl>
    <w:lvl w:ilvl="8" w:tplc="4032289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52"/>
    <w:rsid w:val="000022FF"/>
    <w:rsid w:val="00007951"/>
    <w:rsid w:val="00010494"/>
    <w:rsid w:val="00037041"/>
    <w:rsid w:val="0005602B"/>
    <w:rsid w:val="00075D6D"/>
    <w:rsid w:val="000D0BC8"/>
    <w:rsid w:val="000F5EA5"/>
    <w:rsid w:val="00122700"/>
    <w:rsid w:val="001874B6"/>
    <w:rsid w:val="00243D34"/>
    <w:rsid w:val="0030783B"/>
    <w:rsid w:val="003572DA"/>
    <w:rsid w:val="00393F64"/>
    <w:rsid w:val="003A01A8"/>
    <w:rsid w:val="003A2D2C"/>
    <w:rsid w:val="003B37DF"/>
    <w:rsid w:val="003E31FD"/>
    <w:rsid w:val="003E6AE0"/>
    <w:rsid w:val="00400710"/>
    <w:rsid w:val="004044BD"/>
    <w:rsid w:val="00406290"/>
    <w:rsid w:val="00436F81"/>
    <w:rsid w:val="00440731"/>
    <w:rsid w:val="004517BC"/>
    <w:rsid w:val="0049092C"/>
    <w:rsid w:val="004B2721"/>
    <w:rsid w:val="004B461A"/>
    <w:rsid w:val="004F775F"/>
    <w:rsid w:val="005139D7"/>
    <w:rsid w:val="005200FD"/>
    <w:rsid w:val="00526076"/>
    <w:rsid w:val="00535992"/>
    <w:rsid w:val="00557C5E"/>
    <w:rsid w:val="005A518B"/>
    <w:rsid w:val="005B7F35"/>
    <w:rsid w:val="0060143B"/>
    <w:rsid w:val="0067247F"/>
    <w:rsid w:val="0069108A"/>
    <w:rsid w:val="0072360E"/>
    <w:rsid w:val="00747D63"/>
    <w:rsid w:val="007B7094"/>
    <w:rsid w:val="007C39AA"/>
    <w:rsid w:val="007C7FD8"/>
    <w:rsid w:val="007D04FC"/>
    <w:rsid w:val="007D0AEB"/>
    <w:rsid w:val="00820012"/>
    <w:rsid w:val="008A26B0"/>
    <w:rsid w:val="008B7764"/>
    <w:rsid w:val="008C44CF"/>
    <w:rsid w:val="008D6CC3"/>
    <w:rsid w:val="009E2E40"/>
    <w:rsid w:val="00A201FE"/>
    <w:rsid w:val="00A35BBE"/>
    <w:rsid w:val="00A72391"/>
    <w:rsid w:val="00AE3D9B"/>
    <w:rsid w:val="00AE4E52"/>
    <w:rsid w:val="00B1023E"/>
    <w:rsid w:val="00B173A5"/>
    <w:rsid w:val="00B17FF3"/>
    <w:rsid w:val="00B21179"/>
    <w:rsid w:val="00B67A6F"/>
    <w:rsid w:val="00B9289F"/>
    <w:rsid w:val="00BB6B56"/>
    <w:rsid w:val="00C41509"/>
    <w:rsid w:val="00C709D0"/>
    <w:rsid w:val="00C76B57"/>
    <w:rsid w:val="00CB482E"/>
    <w:rsid w:val="00D806C4"/>
    <w:rsid w:val="00D8099E"/>
    <w:rsid w:val="00E051E7"/>
    <w:rsid w:val="00EC0121"/>
    <w:rsid w:val="00EC01FE"/>
    <w:rsid w:val="00EE274E"/>
    <w:rsid w:val="00F22D4B"/>
    <w:rsid w:val="00FD2C49"/>
    <w:rsid w:val="00FD7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1C1F2B"/>
  <w15:chartTrackingRefBased/>
  <w15:docId w15:val="{C3E7FBB1-A81D-471F-B051-F859DDF0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4E52"/>
    <w:pPr>
      <w:ind w:left="720"/>
      <w:contextualSpacing/>
    </w:pPr>
  </w:style>
  <w:style w:type="paragraph" w:styleId="Header">
    <w:name w:val="header"/>
    <w:basedOn w:val="Normal"/>
    <w:link w:val="HeaderChar"/>
    <w:uiPriority w:val="99"/>
    <w:unhideWhenUsed/>
    <w:rsid w:val="00490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92C"/>
  </w:style>
  <w:style w:type="paragraph" w:styleId="Footer">
    <w:name w:val="footer"/>
    <w:basedOn w:val="Normal"/>
    <w:link w:val="FooterChar"/>
    <w:uiPriority w:val="99"/>
    <w:unhideWhenUsed/>
    <w:rsid w:val="00490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807195">
      <w:bodyDiv w:val="1"/>
      <w:marLeft w:val="0"/>
      <w:marRight w:val="0"/>
      <w:marTop w:val="0"/>
      <w:marBottom w:val="0"/>
      <w:divBdr>
        <w:top w:val="none" w:sz="0" w:space="0" w:color="auto"/>
        <w:left w:val="none" w:sz="0" w:space="0" w:color="auto"/>
        <w:bottom w:val="none" w:sz="0" w:space="0" w:color="auto"/>
        <w:right w:val="none" w:sz="0" w:space="0" w:color="auto"/>
      </w:divBdr>
      <w:divsChild>
        <w:div w:id="1216551412">
          <w:marLeft w:val="706"/>
          <w:marRight w:val="0"/>
          <w:marTop w:val="0"/>
          <w:marBottom w:val="0"/>
          <w:divBdr>
            <w:top w:val="none" w:sz="0" w:space="0" w:color="auto"/>
            <w:left w:val="none" w:sz="0" w:space="0" w:color="auto"/>
            <w:bottom w:val="none" w:sz="0" w:space="0" w:color="auto"/>
            <w:right w:val="none" w:sz="0" w:space="0" w:color="auto"/>
          </w:divBdr>
        </w:div>
      </w:divsChild>
    </w:div>
    <w:div w:id="165671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Finbow</dc:creator>
  <cp:keywords/>
  <dc:description/>
  <cp:lastModifiedBy>Helen Wilton</cp:lastModifiedBy>
  <cp:revision>2</cp:revision>
  <dcterms:created xsi:type="dcterms:W3CDTF">2019-08-13T15:08:00Z</dcterms:created>
  <dcterms:modified xsi:type="dcterms:W3CDTF">2019-08-13T15:08:00Z</dcterms:modified>
</cp:coreProperties>
</file>